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81DC" w14:textId="77777777" w:rsidR="00C14E94" w:rsidRPr="00C14E94" w:rsidRDefault="00C14E94" w:rsidP="00C14E94">
      <w:pPr>
        <w:rPr>
          <w:rFonts w:ascii="Times New Roman" w:eastAsia="Times New Roman" w:hAnsi="Times New Roman" w:cs="Times New Roman"/>
        </w:rPr>
      </w:pPr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We study various tensor quantum field theory with 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O</w:t>
      </w:r>
      <w:r w:rsidRPr="00C14E94">
        <w:rPr>
          <w:rFonts w:ascii="STIXGeneral-Regular" w:eastAsia="Times New Roman" w:hAnsi="STIXGeneral-Regular" w:cs="STIXGeneral-Regular"/>
          <w:color w:val="222222"/>
          <w:sz w:val="25"/>
          <w:szCs w:val="25"/>
          <w:bdr w:val="none" w:sz="0" w:space="0" w:color="auto" w:frame="1"/>
          <w:shd w:val="clear" w:color="auto" w:fill="FFFFFF"/>
        </w:rPr>
        <w:t>(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N</w:t>
      </w:r>
      <w:proofErr w:type="gramStart"/>
      <w:r w:rsidRPr="00C14E94">
        <w:rPr>
          <w:rFonts w:ascii="STIXGeneral-Regular" w:eastAsia="Times New Roman" w:hAnsi="STIXGeneral-Regular" w:cs="STIXGeneral-Regular"/>
          <w:color w:val="222222"/>
          <w:sz w:val="18"/>
          <w:szCs w:val="18"/>
          <w:bdr w:val="none" w:sz="0" w:space="0" w:color="auto" w:frame="1"/>
          <w:shd w:val="clear" w:color="auto" w:fill="FFFFFF"/>
        </w:rPr>
        <w:t>1</w:t>
      </w:r>
      <w:r w:rsidRPr="00C14E94">
        <w:rPr>
          <w:rFonts w:ascii="STIXGeneral-Regular" w:eastAsia="Times New Roman" w:hAnsi="STIXGeneral-Regular" w:cs="STIXGeneral-Regular"/>
          <w:color w:val="222222"/>
          <w:sz w:val="25"/>
          <w:szCs w:val="25"/>
          <w:bdr w:val="none" w:sz="0" w:space="0" w:color="auto" w:frame="1"/>
          <w:shd w:val="clear" w:color="auto" w:fill="FFFFFF"/>
        </w:rPr>
        <w:t>)×</w:t>
      </w:r>
      <w:proofErr w:type="gramEnd"/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O</w:t>
      </w:r>
      <w:r w:rsidRPr="00C14E94">
        <w:rPr>
          <w:rFonts w:ascii="STIXGeneral-Regular" w:eastAsia="Times New Roman" w:hAnsi="STIXGeneral-Regular" w:cs="STIXGeneral-Regular"/>
          <w:color w:val="222222"/>
          <w:sz w:val="25"/>
          <w:szCs w:val="25"/>
          <w:bdr w:val="none" w:sz="0" w:space="0" w:color="auto" w:frame="1"/>
          <w:shd w:val="clear" w:color="auto" w:fill="FFFFFF"/>
        </w:rPr>
        <w:t>(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N</w:t>
      </w:r>
      <w:r w:rsidRPr="00C14E94">
        <w:rPr>
          <w:rFonts w:ascii="STIXGeneral-Regular" w:eastAsia="Times New Roman" w:hAnsi="STIXGeneral-Regular" w:cs="STIXGeneral-Regular"/>
          <w:color w:val="222222"/>
          <w:sz w:val="18"/>
          <w:szCs w:val="18"/>
          <w:bdr w:val="none" w:sz="0" w:space="0" w:color="auto" w:frame="1"/>
          <w:shd w:val="clear" w:color="auto" w:fill="FFFFFF"/>
        </w:rPr>
        <w:t>2</w:t>
      </w:r>
      <w:r w:rsidRPr="00C14E94">
        <w:rPr>
          <w:rFonts w:ascii="STIXGeneral-Regular" w:eastAsia="Times New Roman" w:hAnsi="STIXGeneral-Regular" w:cs="STIXGeneral-Regular"/>
          <w:color w:val="222222"/>
          <w:sz w:val="25"/>
          <w:szCs w:val="25"/>
          <w:bdr w:val="none" w:sz="0" w:space="0" w:color="auto" w:frame="1"/>
          <w:shd w:val="clear" w:color="auto" w:fill="FFFFFF"/>
        </w:rPr>
        <w:t>)</w:t>
      </w:r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 symmetry. Working in </w:t>
      </w:r>
      <w:r w:rsidRPr="00C14E94">
        <w:rPr>
          <w:rFonts w:ascii="STIXGeneral-Regular" w:eastAsia="Times New Roman" w:hAnsi="STIXGeneral-Regular" w:cs="STIXGeneral-Regular"/>
          <w:color w:val="222222"/>
          <w:sz w:val="25"/>
          <w:szCs w:val="25"/>
          <w:bdr w:val="none" w:sz="0" w:space="0" w:color="auto" w:frame="1"/>
          <w:shd w:val="clear" w:color="auto" w:fill="FFFFFF"/>
        </w:rPr>
        <w:t>4−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ϵ</w:t>
      </w:r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 dimensions we calculate the beta functions up to second order in the coupling constants and analyze in detail the Renormalization Group (RG) flow and its fixed points. We allow 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N</w:t>
      </w:r>
      <w:r w:rsidRPr="00C14E94">
        <w:rPr>
          <w:rFonts w:ascii="STIXGeneral-Regular" w:eastAsia="Times New Roman" w:hAnsi="STIXGeneral-Regular" w:cs="STIXGeneral-Regular"/>
          <w:color w:val="222222"/>
          <w:sz w:val="18"/>
          <w:szCs w:val="18"/>
          <w:bdr w:val="none" w:sz="0" w:space="0" w:color="auto" w:frame="1"/>
          <w:shd w:val="clear" w:color="auto" w:fill="FFFFFF"/>
        </w:rPr>
        <w:t>1</w:t>
      </w:r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 and 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N</w:t>
      </w:r>
      <w:r w:rsidRPr="00C14E94">
        <w:rPr>
          <w:rFonts w:ascii="STIXGeneral-Regular" w:eastAsia="Times New Roman" w:hAnsi="STIXGeneral-Regular" w:cs="STIXGeneral-Regular"/>
          <w:color w:val="222222"/>
          <w:sz w:val="18"/>
          <w:szCs w:val="18"/>
          <w:bdr w:val="none" w:sz="0" w:space="0" w:color="auto" w:frame="1"/>
          <w:shd w:val="clear" w:color="auto" w:fill="FFFFFF"/>
        </w:rPr>
        <w:t>2</w:t>
      </w:r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 to assume general real values and treat them as bifurcation parameters. In studying the behavior of the model in the space of 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N</w:t>
      </w:r>
      <w:r w:rsidRPr="00C14E94">
        <w:rPr>
          <w:rFonts w:ascii="STIXGeneral-Regular" w:eastAsia="Times New Roman" w:hAnsi="STIXGeneral-Regular" w:cs="STIXGeneral-Regular"/>
          <w:color w:val="222222"/>
          <w:sz w:val="18"/>
          <w:szCs w:val="18"/>
          <w:bdr w:val="none" w:sz="0" w:space="0" w:color="auto" w:frame="1"/>
          <w:shd w:val="clear" w:color="auto" w:fill="FFFFFF"/>
        </w:rPr>
        <w:t>1</w:t>
      </w:r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 and </w:t>
      </w:r>
      <w:r w:rsidRPr="00C14E94">
        <w:rPr>
          <w:rFonts w:ascii="STIXGeneral-Italic" w:eastAsia="Times New Roman" w:hAnsi="STIXGeneral-Italic" w:cs="STIXGeneral-Italic"/>
          <w:color w:val="222222"/>
          <w:sz w:val="25"/>
          <w:szCs w:val="25"/>
          <w:bdr w:val="none" w:sz="0" w:space="0" w:color="auto" w:frame="1"/>
          <w:shd w:val="clear" w:color="auto" w:fill="FFFFFF"/>
        </w:rPr>
        <w:t>N</w:t>
      </w:r>
      <w:r w:rsidRPr="00C14E94">
        <w:rPr>
          <w:rFonts w:ascii="STIXGeneral-Regular" w:eastAsia="Times New Roman" w:hAnsi="STIXGeneral-Regular" w:cs="STIXGeneral-Regular"/>
          <w:color w:val="222222"/>
          <w:sz w:val="18"/>
          <w:szCs w:val="18"/>
          <w:bdr w:val="none" w:sz="0" w:space="0" w:color="auto" w:frame="1"/>
          <w:shd w:val="clear" w:color="auto" w:fill="FFFFFF"/>
        </w:rPr>
        <w:t>2</w:t>
      </w:r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 xml:space="preserve"> we find points where </w:t>
      </w:r>
      <w:proofErr w:type="spell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Hopf</w:t>
      </w:r>
      <w:proofErr w:type="spellEnd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, Bogdanov-</w:t>
      </w:r>
      <w:proofErr w:type="spell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Takens</w:t>
      </w:r>
      <w:proofErr w:type="spellEnd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 xml:space="preserve"> and zero-</w:t>
      </w:r>
      <w:proofErr w:type="spell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Hopf</w:t>
      </w:r>
      <w:proofErr w:type="spellEnd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 xml:space="preserve"> bifurcations occur. In the vicinity of these points, we provide analytical and numerical evidence for the existence of various interesting trajectories like limit cycles, homoclinic trajectories </w:t>
      </w:r>
      <w:proofErr w:type="gram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and  </w:t>
      </w:r>
      <w:proofErr w:type="spell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Shilnikov</w:t>
      </w:r>
      <w:proofErr w:type="spellEnd"/>
      <w:proofErr w:type="gramEnd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 xml:space="preserve"> orbits. The latter is </w:t>
      </w:r>
      <w:proofErr w:type="gram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particular interesting</w:t>
      </w:r>
      <w:proofErr w:type="gramEnd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 xml:space="preserve"> since it induces chaotic behavior in the RG flow. As a simple warm-up example for the study of chaotic RG flows, we also review the non-</w:t>
      </w:r>
      <w:proofErr w:type="spell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hermitian</w:t>
      </w:r>
      <w:proofErr w:type="spellEnd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>Ising</w:t>
      </w:r>
      <w:proofErr w:type="spellEnd"/>
      <w:r w:rsidRPr="00C14E94">
        <w:rPr>
          <w:rFonts w:ascii="Lucida Grande" w:eastAsia="Times New Roman" w:hAnsi="Lucida Grande" w:cs="Lucida Grande"/>
          <w:color w:val="222222"/>
          <w:sz w:val="20"/>
          <w:szCs w:val="20"/>
          <w:shd w:val="clear" w:color="auto" w:fill="FFFFFF"/>
        </w:rPr>
        <w:t xml:space="preserve"> chain and show how for special complex values of the coupling constant, its RG transformations are chaotic and equivalent to the Bernoulli map.</w:t>
      </w:r>
    </w:p>
    <w:p w14:paraId="7CFF956F" w14:textId="77777777" w:rsidR="00C14E94" w:rsidRDefault="00C14E94"/>
    <w:sectPr w:rsidR="00C1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IXGeneral-Italic">
    <w:panose1 w:val="00000000000000000000"/>
    <w:charset w:val="00"/>
    <w:family w:val="auto"/>
    <w:notTrueType/>
    <w:pitch w:val="variable"/>
    <w:sig w:usb0="A00002BF" w:usb1="42000D4E" w:usb2="02000000" w:usb3="00000000" w:csb0="800001FF" w:csb1="00000000"/>
  </w:font>
  <w:font w:name="STIXGeneral-Regular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94"/>
    <w:rsid w:val="00C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8F60C"/>
  <w15:chartTrackingRefBased/>
  <w15:docId w15:val="{43D3DAEE-7E69-0B41-81F0-CA88BADC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Zhangwen Hu</dc:creator>
  <cp:keywords/>
  <dc:description/>
  <cp:lastModifiedBy>Zhangwen Hu</cp:lastModifiedBy>
  <cp:revision>1</cp:revision>
  <dcterms:created xsi:type="dcterms:W3CDTF">2022-03-04T15:51:00Z</dcterms:created>
  <dcterms:modified xsi:type="dcterms:W3CDTF">2022-03-04T15:52:00Z</dcterms:modified>
</cp:coreProperties>
</file>